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BC" w:rsidRPr="00F65054" w:rsidRDefault="005025BC" w:rsidP="005025BC">
      <w:pPr>
        <w:pStyle w:val="OZNPROJEKTUwskazaniedatylubwersjiprojektu"/>
        <w:keepNext/>
      </w:pPr>
      <w:bookmarkStart w:id="0" w:name="_GoBack"/>
      <w:bookmarkEnd w:id="0"/>
      <w:r>
        <w:t>Projekt z 18</w:t>
      </w:r>
      <w:r w:rsidRPr="00F65054">
        <w:t xml:space="preserve"> lutego 2016 r.</w:t>
      </w:r>
    </w:p>
    <w:p w:rsidR="005025BC" w:rsidRPr="00F65054" w:rsidRDefault="005025BC" w:rsidP="005025BC">
      <w:pPr>
        <w:pStyle w:val="OZNRODZAKTUtznustawalubrozporzdzenieiorganwydajcy"/>
      </w:pPr>
      <w:r w:rsidRPr="00F65054">
        <w:t>ROZPORZĄDZENIE</w:t>
      </w:r>
    </w:p>
    <w:p w:rsidR="005025BC" w:rsidRPr="00F65054" w:rsidRDefault="005025BC" w:rsidP="005025BC">
      <w:pPr>
        <w:pStyle w:val="OZNRODZAKTUtznustawalubrozporzdzenieiorganwydajcy"/>
      </w:pPr>
      <w:r w:rsidRPr="00F65054">
        <w:t>MINISTRA RODZINY, PRACY I POLITYKI SPOŁECZNEJ</w:t>
      </w:r>
      <w:r w:rsidRPr="00897AB6">
        <w:rPr>
          <w:rStyle w:val="IGindeksgrny"/>
        </w:rPr>
        <w:footnoteReference w:id="1"/>
      </w:r>
      <w:r w:rsidRPr="00897AB6">
        <w:rPr>
          <w:rStyle w:val="IGindeksgrny"/>
        </w:rPr>
        <w:t>)</w:t>
      </w:r>
    </w:p>
    <w:p w:rsidR="005025BC" w:rsidRPr="00F65054" w:rsidRDefault="005025BC" w:rsidP="005025BC">
      <w:pPr>
        <w:pStyle w:val="DATAAKTUdatauchwalenialubwydaniaaktu"/>
      </w:pPr>
      <w:r w:rsidRPr="00F65054">
        <w:t>z dnia                             2016 r.</w:t>
      </w:r>
    </w:p>
    <w:p w:rsidR="005025BC" w:rsidRPr="00F65054" w:rsidRDefault="005025BC" w:rsidP="005025BC">
      <w:pPr>
        <w:pStyle w:val="TYTUAKTUprzedmiotregulacjiustawylubrozporzdzenia"/>
      </w:pPr>
      <w:r w:rsidRPr="00F65054">
        <w:t>w sprawie informacji dotyczących kwot obniżenia wpłat na Państwowy Fundusz Rehabilitacji Osób Niepełnosprawnych oraz ewidencji wystawionych informacji                      o kwocie obniżenia</w:t>
      </w:r>
    </w:p>
    <w:p w:rsidR="005025BC" w:rsidRPr="00F65054" w:rsidRDefault="005025BC" w:rsidP="005025BC">
      <w:pPr>
        <w:pStyle w:val="NIEARTTEKSTtekstnieartykuowanynppodstprawnarozplubpreambua"/>
      </w:pPr>
      <w:r w:rsidRPr="00F65054">
        <w:t xml:space="preserve">Na podstawie art. 22 ust. 12 ustawy z dnia 27 sierpnia 1997 r. o rehabilitacji zawodowej </w:t>
      </w:r>
      <w:r w:rsidRPr="00F65054">
        <w:br/>
        <w:t xml:space="preserve">i społecznej oraz zatrudnianiu osób niepełnosprawnych (Dz. U. z 2011 r. Nr 127, poz. 721, </w:t>
      </w:r>
      <w:r w:rsidRPr="00F65054">
        <w:br/>
        <w:t xml:space="preserve">z </w:t>
      </w:r>
      <w:proofErr w:type="spellStart"/>
      <w:r w:rsidRPr="00F65054">
        <w:t>późn</w:t>
      </w:r>
      <w:proofErr w:type="spellEnd"/>
      <w:r w:rsidRPr="00F65054">
        <w:t>. zm.</w:t>
      </w:r>
      <w:r w:rsidRPr="00F65054">
        <w:rPr>
          <w:rStyle w:val="Odwoanieprzypisudolnego"/>
        </w:rPr>
        <w:footnoteReference w:id="2"/>
      </w:r>
      <w:r w:rsidRPr="00F65054">
        <w:rPr>
          <w:rStyle w:val="IGindeksgrny"/>
        </w:rPr>
        <w:t>)</w:t>
      </w:r>
      <w:r w:rsidRPr="00F65054">
        <w:t>) zarządza się, co następuje:</w:t>
      </w:r>
    </w:p>
    <w:p w:rsidR="005025BC" w:rsidRPr="00F65054" w:rsidRDefault="005025BC" w:rsidP="005025BC">
      <w:pPr>
        <w:pStyle w:val="ARTartustawynprozporzdzenia"/>
      </w:pPr>
      <w:r w:rsidRPr="00F65054">
        <w:rPr>
          <w:rStyle w:val="Ppogrubienie"/>
        </w:rPr>
        <w:t>§ 1.</w:t>
      </w:r>
      <w:r w:rsidRPr="00F65054">
        <w:t> Rozporządzenie określa:</w:t>
      </w:r>
    </w:p>
    <w:p w:rsidR="005025BC" w:rsidRPr="00F65054" w:rsidRDefault="005025BC" w:rsidP="005025BC">
      <w:pPr>
        <w:pStyle w:val="PKTpunkt"/>
      </w:pPr>
      <w:r w:rsidRPr="00F65054">
        <w:t xml:space="preserve">1) wzory informacji, o których mowa w art. 22 ust. 10 pkt 1 i 3 ustawy z dnia 27 sierpnia 1997 r. o rehabilitacji zawodowej i społecznej oraz zatrudnianiu osób niepełnosprawnych, zwanej dalej </w:t>
      </w:r>
      <w:r>
        <w:t>„</w:t>
      </w:r>
      <w:r w:rsidRPr="00F65054">
        <w:t>ustawą</w:t>
      </w:r>
      <w:r>
        <w:t>”</w:t>
      </w:r>
      <w:r w:rsidRPr="00F65054">
        <w:t>;</w:t>
      </w:r>
    </w:p>
    <w:p w:rsidR="005025BC" w:rsidRPr="00F65054" w:rsidRDefault="005025BC" w:rsidP="005025BC">
      <w:pPr>
        <w:pStyle w:val="PKTpunkt"/>
      </w:pPr>
      <w:r w:rsidRPr="00F65054">
        <w:t>2) zakres danych gromadzonych w ewidencji, o której mowa w art. 22 ust. 10 pkt 2 ustawy, oraz sposób jej prowadzenia.</w:t>
      </w:r>
    </w:p>
    <w:p w:rsidR="005025BC" w:rsidRPr="00F65054" w:rsidRDefault="005025BC" w:rsidP="005025BC">
      <w:pPr>
        <w:pStyle w:val="ARTartustawynprozporzdzenia"/>
      </w:pPr>
      <w:r w:rsidRPr="00F65054">
        <w:rPr>
          <w:rStyle w:val="Ppogrubienie"/>
        </w:rPr>
        <w:t>§ 2.</w:t>
      </w:r>
      <w:r w:rsidRPr="00F65054">
        <w:t> 1. Określa się wzory:</w:t>
      </w:r>
    </w:p>
    <w:p w:rsidR="005025BC" w:rsidRPr="00F65054" w:rsidRDefault="005025BC" w:rsidP="005025BC">
      <w:pPr>
        <w:pStyle w:val="PKTpunkt"/>
      </w:pPr>
      <w:r w:rsidRPr="00F65054">
        <w:t xml:space="preserve">1) informacji, o której mowa w art. 22 ust. 10 pkt 1 ustawy, o symbolu INF-U, stanowiący załącznik nr 1 do rozporządzenia, zwanej dalej </w:t>
      </w:r>
      <w:r>
        <w:t>„</w:t>
      </w:r>
      <w:r w:rsidRPr="00F65054">
        <w:t>informacją INF-U</w:t>
      </w:r>
      <w:r>
        <w:t>”</w:t>
      </w:r>
      <w:r w:rsidRPr="00F65054">
        <w:t>;</w:t>
      </w:r>
    </w:p>
    <w:p w:rsidR="005025BC" w:rsidRDefault="005025BC" w:rsidP="005025BC">
      <w:pPr>
        <w:pStyle w:val="PKTpunkt"/>
      </w:pPr>
      <w:r w:rsidRPr="00F65054">
        <w:t xml:space="preserve">2) informacji, o której mowa w art. 22 ust. 10 pkt 3 ustawy, o symbolu INF-1-u, stanowiący załącznik nr 2 do rozporządzenia, zwanej dalej </w:t>
      </w:r>
      <w:r>
        <w:t>„</w:t>
      </w:r>
      <w:r w:rsidRPr="00F65054">
        <w:t>informacją INF-1-u</w:t>
      </w:r>
      <w:r>
        <w:t>”</w:t>
      </w:r>
      <w:r w:rsidRPr="00F65054">
        <w:t>.</w:t>
      </w:r>
    </w:p>
    <w:p w:rsidR="004A4F93" w:rsidRPr="00E405A6" w:rsidRDefault="00D43F05" w:rsidP="00D43F05">
      <w:pPr>
        <w:pStyle w:val="PKTpunkt"/>
        <w:ind w:left="0" w:firstLine="567"/>
        <w:rPr>
          <w:color w:val="A50021"/>
        </w:rPr>
      </w:pPr>
      <w:r w:rsidRPr="00E405A6">
        <w:rPr>
          <w:color w:val="A50021"/>
        </w:rPr>
        <w:t xml:space="preserve">Proponuje się usunięcie z druku INF-1-u pola nr 24, 43 oraz 62 – „Przedmiot sprzedaży”. W art. 22 ust. 1 ustawy o rehabilitacji (…) określony jest tytuł zakupu z jakiego </w:t>
      </w:r>
      <w:r w:rsidRPr="00E405A6">
        <w:rPr>
          <w:color w:val="A50021"/>
        </w:rPr>
        <w:lastRenderedPageBreak/>
        <w:t>możliwe jest dokonanie obniżenia wpłaty na PFRON i nie wymaga on dodatkowego wyszczególnienia.</w:t>
      </w:r>
    </w:p>
    <w:p w:rsidR="00731DAB" w:rsidRPr="00E405A6" w:rsidRDefault="00D43F05" w:rsidP="00D43F05">
      <w:pPr>
        <w:pStyle w:val="PKTpunkt"/>
        <w:ind w:left="0" w:firstLine="567"/>
        <w:rPr>
          <w:color w:val="A50021"/>
        </w:rPr>
      </w:pPr>
      <w:r w:rsidRPr="00E405A6">
        <w:rPr>
          <w:color w:val="A50021"/>
        </w:rPr>
        <w:t xml:space="preserve">W druku INF-1-u nazwę pola o nr 33, 52 oraz 71 należy zastąpić słowo „Wynagrodzenia” słowami „Współczynnik wynagrodzeń”. </w:t>
      </w:r>
      <w:r w:rsidR="00E31A93" w:rsidRPr="00E405A6">
        <w:rPr>
          <w:color w:val="A50021"/>
        </w:rPr>
        <w:t>Słowo „Wynagrodzenia” może wprowadzić w błąd osobę wypełniającą druk informacji, która nie zastosuje odpowiedniego algorytmu do wyliczenia wartości, którą należy wpisać w tym polu.</w:t>
      </w:r>
    </w:p>
    <w:p w:rsidR="00D43F05" w:rsidRPr="00E405A6" w:rsidRDefault="00731DAB" w:rsidP="00D43F05">
      <w:pPr>
        <w:pStyle w:val="PKTpunkt"/>
        <w:ind w:left="0" w:firstLine="567"/>
        <w:rPr>
          <w:color w:val="A50021"/>
        </w:rPr>
      </w:pPr>
      <w:r w:rsidRPr="00E405A6">
        <w:rPr>
          <w:color w:val="A50021"/>
        </w:rPr>
        <w:t>W druku INF-1-u w polu nr 35, 54 oraz 73 o nazwie „Zatrudnienie osób niepełnosprawnych” podano przypis nr 19, a powinien widnieć przypis nr 20, który dotyczy wielkości zatrudnienia w przeliczeniu na pełny wymiar czasu pracy.</w:t>
      </w:r>
    </w:p>
    <w:p w:rsidR="00C01D7C" w:rsidRPr="00E405A6" w:rsidRDefault="00C01D7C" w:rsidP="00D43F05">
      <w:pPr>
        <w:pStyle w:val="PKTpunkt"/>
        <w:ind w:left="0" w:firstLine="567"/>
        <w:rPr>
          <w:color w:val="A50021"/>
        </w:rPr>
      </w:pPr>
      <w:r w:rsidRPr="00E405A6">
        <w:rPr>
          <w:color w:val="A50021"/>
        </w:rPr>
        <w:t>W druku INF-1-u przypis nr 21 do pola nr 36, 55 oraz 75 – „Kwota obniżenia” zawiera błęd</w:t>
      </w:r>
      <w:r w:rsidR="00D0752C" w:rsidRPr="00E405A6">
        <w:rPr>
          <w:color w:val="A50021"/>
        </w:rPr>
        <w:t xml:space="preserve">y w algorytmie wyliczenia kwoty obniżenia. </w:t>
      </w:r>
    </w:p>
    <w:p w:rsidR="005025BC" w:rsidRPr="00F65054" w:rsidRDefault="005025BC" w:rsidP="005025BC">
      <w:pPr>
        <w:pStyle w:val="USTustnpkodeksu"/>
      </w:pPr>
      <w:r w:rsidRPr="00F65054">
        <w:t>2. Do wskazania części lub całości informacji wymienionych w załącznikach odpowiednio sprzedający lub nabywca mogą dodatkowo stosować fotokody, w tym kody QR, umieszczone powyżej górnej krawędzi bloku informacyjnego formularza lub na odwrocie formularza, oznaczenia lub etykiety ułatwiające identyfikację dokumentu, w tym etykiety dźwiękowe i etykiety pisane alfabetem Braille`a, których zastosowanie nie wyłącza uznania informacji INF-U ani informacji INF-1-u za zgodne ze wzorami określonymi w ust. 1 ani uznania informacji INF-U za zgodną z oryginałem.</w:t>
      </w:r>
    </w:p>
    <w:p w:rsidR="005025BC" w:rsidRPr="00F65054" w:rsidRDefault="005025BC" w:rsidP="005025BC">
      <w:pPr>
        <w:pStyle w:val="ARTartustawynprozporzdzenia"/>
      </w:pPr>
      <w:r w:rsidRPr="00F65054">
        <w:rPr>
          <w:rStyle w:val="Ppogrubienie"/>
        </w:rPr>
        <w:t>§ 3.</w:t>
      </w:r>
      <w:r w:rsidRPr="00F65054">
        <w:t> 1. Ewidencja wystawionych informacji o kwocie obniżenia, zwana dalej „ewidencją”, zawiera:</w:t>
      </w:r>
    </w:p>
    <w:p w:rsidR="005025BC" w:rsidRPr="00F65054" w:rsidRDefault="005025BC" w:rsidP="005025BC">
      <w:pPr>
        <w:pStyle w:val="PKTpunkt"/>
      </w:pPr>
      <w:r>
        <w:t xml:space="preserve">1) </w:t>
      </w:r>
      <w:r w:rsidRPr="00F65054">
        <w:t>numer wpisu;</w:t>
      </w:r>
    </w:p>
    <w:p w:rsidR="005025BC" w:rsidRPr="00F65054" w:rsidRDefault="005025BC" w:rsidP="005025BC">
      <w:pPr>
        <w:pStyle w:val="PKTpunkt"/>
      </w:pPr>
      <w:r>
        <w:t xml:space="preserve">2) </w:t>
      </w:r>
      <w:r w:rsidRPr="00F65054">
        <w:t>datę wystawienia informacji wykazaną w poz. 39 informacji INF-U;</w:t>
      </w:r>
    </w:p>
    <w:p w:rsidR="005025BC" w:rsidRPr="00F65054" w:rsidRDefault="005025BC" w:rsidP="005025BC">
      <w:pPr>
        <w:pStyle w:val="PKTpunkt"/>
      </w:pPr>
      <w:r>
        <w:t xml:space="preserve">3) </w:t>
      </w:r>
      <w:r w:rsidRPr="00F65054">
        <w:t>znak informacji wykazany w poz. 16 informacji INF-U;</w:t>
      </w:r>
    </w:p>
    <w:p w:rsidR="005025BC" w:rsidRPr="00F65054" w:rsidRDefault="005025BC" w:rsidP="005025BC">
      <w:pPr>
        <w:pStyle w:val="PKTpunkt"/>
      </w:pPr>
      <w:r>
        <w:t xml:space="preserve">4) </w:t>
      </w:r>
      <w:r w:rsidRPr="00F65054">
        <w:t xml:space="preserve">dane o zwykłym lub korygującym statusie informacji wykazane w poz. 15 informacji </w:t>
      </w:r>
      <w:r>
        <w:t xml:space="preserve">           </w:t>
      </w:r>
      <w:r w:rsidRPr="00F65054">
        <w:t>INF-U;</w:t>
      </w:r>
    </w:p>
    <w:p w:rsidR="005025BC" w:rsidRPr="00F65054" w:rsidRDefault="005025BC" w:rsidP="005025BC">
      <w:pPr>
        <w:pStyle w:val="PKTpunkt"/>
      </w:pPr>
      <w:r>
        <w:t xml:space="preserve">5) </w:t>
      </w:r>
      <w:r w:rsidRPr="00F65054">
        <w:t>numer identyfikacji podatkowej (NIP), numer REGON, nazwę i miejsce zamieszkania albo siedzibę oraz adres nabywcy wykazane w poz. 18-26 informacji INF-U;</w:t>
      </w:r>
    </w:p>
    <w:p w:rsidR="005025BC" w:rsidRDefault="005025BC" w:rsidP="005025BC">
      <w:pPr>
        <w:pStyle w:val="PKTpunkt"/>
      </w:pPr>
      <w:r>
        <w:t xml:space="preserve">6) </w:t>
      </w:r>
      <w:r w:rsidRPr="00F65054">
        <w:t>datę wystawienia i znak faktury, o której mowa w art. 22 ust. 2 pkt 1 ustawy, wykazane w poz. 29 i poz. 30 informacji INF-U;</w:t>
      </w:r>
    </w:p>
    <w:p w:rsidR="005025BC" w:rsidRPr="00E405A6" w:rsidRDefault="008C2A21" w:rsidP="005025BC">
      <w:pPr>
        <w:pStyle w:val="PKTpunkt"/>
        <w:rPr>
          <w:color w:val="A50021"/>
        </w:rPr>
      </w:pPr>
      <w:r w:rsidRPr="00E405A6">
        <w:rPr>
          <w:color w:val="A50021"/>
        </w:rPr>
        <w:t xml:space="preserve">Brak zapisu </w:t>
      </w:r>
      <w:r w:rsidR="005E1AF1" w:rsidRPr="00E405A6">
        <w:rPr>
          <w:color w:val="A50021"/>
        </w:rPr>
        <w:t xml:space="preserve">w treści rozporządzenia </w:t>
      </w:r>
      <w:r w:rsidRPr="00E405A6">
        <w:rPr>
          <w:color w:val="A50021"/>
        </w:rPr>
        <w:t xml:space="preserve">o konieczności </w:t>
      </w:r>
      <w:r w:rsidR="0010619F" w:rsidRPr="00E405A6">
        <w:rPr>
          <w:color w:val="A50021"/>
        </w:rPr>
        <w:t xml:space="preserve">zawarcia </w:t>
      </w:r>
      <w:r w:rsidRPr="00E405A6">
        <w:rPr>
          <w:color w:val="A50021"/>
        </w:rPr>
        <w:t>w ewidencji informacji dotyczącyc</w:t>
      </w:r>
      <w:r w:rsidR="0010619F" w:rsidRPr="00E405A6">
        <w:rPr>
          <w:color w:val="A50021"/>
        </w:rPr>
        <w:t>h terminu płatności na fakturze, która wykazana będzie w poz. 31 informacji INF-U, oraz daty zapłaty za zakup wykazanej w poz. 32 informacji INF-U.</w:t>
      </w:r>
    </w:p>
    <w:p w:rsidR="005025BC" w:rsidRDefault="005025BC" w:rsidP="005025BC">
      <w:pPr>
        <w:pStyle w:val="PKTpunkt"/>
      </w:pPr>
      <w:r>
        <w:lastRenderedPageBreak/>
        <w:t xml:space="preserve">7) </w:t>
      </w:r>
      <w:r w:rsidRPr="00F65054">
        <w:t xml:space="preserve">przychód ogółem ze sprzedaży własnych usług, z wyłączeniem handlu, lub produkcji  sprzedającego </w:t>
      </w:r>
      <w:r w:rsidRPr="00152FA7">
        <w:rPr>
          <w:strike/>
        </w:rPr>
        <w:t>wykazany w poz. 33 informacji INF-U;</w:t>
      </w:r>
    </w:p>
    <w:p w:rsidR="00EE7918" w:rsidRPr="00E405A6" w:rsidRDefault="00EE7918" w:rsidP="005025BC">
      <w:pPr>
        <w:pStyle w:val="PKTpunkt"/>
        <w:rPr>
          <w:color w:val="A50021"/>
        </w:rPr>
      </w:pPr>
      <w:r w:rsidRPr="00E405A6">
        <w:rPr>
          <w:color w:val="A50021"/>
        </w:rPr>
        <w:t>Pozycja dotycząca przychodu ogółem powinna być zawarta w ewidencji sprzedającego, lecz nie może być przekazywana do nabywcy ulgi na druku INF-U – tajemnica handlowa</w:t>
      </w:r>
      <w:r w:rsidR="00CD5D64" w:rsidRPr="00E405A6">
        <w:rPr>
          <w:color w:val="A50021"/>
        </w:rPr>
        <w:t>.</w:t>
      </w:r>
    </w:p>
    <w:p w:rsidR="005025BC" w:rsidRPr="00F65054" w:rsidRDefault="005025BC" w:rsidP="005025BC">
      <w:pPr>
        <w:pStyle w:val="PKTpunkt"/>
      </w:pPr>
      <w:r>
        <w:t xml:space="preserve">8) </w:t>
      </w:r>
      <w:r w:rsidRPr="00F65054">
        <w:t>przychód ze sprzedaży własnych usług, z wyłączeniem handlu, lub produkcji  sprzedającego zrealizowanych na rzecz nabywcy wynikający ze sprzedaży udokumentowanej  fakturą wykazany w poz. 34 informacji INF-U;</w:t>
      </w:r>
    </w:p>
    <w:p w:rsidR="005025BC" w:rsidRDefault="005025BC" w:rsidP="005025BC">
      <w:pPr>
        <w:pStyle w:val="PKTpunkt"/>
      </w:pPr>
      <w:r>
        <w:t xml:space="preserve">9) </w:t>
      </w:r>
      <w:r w:rsidRPr="00152FA7">
        <w:rPr>
          <w:strike/>
        </w:rPr>
        <w:t>wynagrodzenia wykazane w poz. 35 informacji INF-U;</w:t>
      </w:r>
    </w:p>
    <w:p w:rsidR="00152FA7" w:rsidRPr="00E405A6" w:rsidRDefault="00152FA7" w:rsidP="005025BC">
      <w:pPr>
        <w:pStyle w:val="PKTpunkt"/>
        <w:rPr>
          <w:color w:val="A50021"/>
        </w:rPr>
      </w:pPr>
      <w:r w:rsidRPr="00E405A6">
        <w:rPr>
          <w:color w:val="A50021"/>
        </w:rPr>
        <w:t>9) współczynnik wynagrodzeń</w:t>
      </w:r>
      <w:r w:rsidR="002D61B6" w:rsidRPr="00E405A6">
        <w:rPr>
          <w:color w:val="A50021"/>
        </w:rPr>
        <w:t xml:space="preserve">, </w:t>
      </w:r>
      <w:r w:rsidRPr="00E405A6">
        <w:rPr>
          <w:color w:val="A50021"/>
        </w:rPr>
        <w:t xml:space="preserve"> </w:t>
      </w:r>
    </w:p>
    <w:p w:rsidR="00152FA7" w:rsidRPr="00E405A6" w:rsidRDefault="00152FA7" w:rsidP="00E90F08">
      <w:pPr>
        <w:pStyle w:val="PKTpunkt"/>
        <w:ind w:left="0" w:firstLine="0"/>
        <w:rPr>
          <w:color w:val="A50021"/>
        </w:rPr>
      </w:pPr>
      <w:r w:rsidRPr="00E405A6">
        <w:rPr>
          <w:color w:val="A50021"/>
        </w:rPr>
        <w:t xml:space="preserve">Pozycja dotycząca </w:t>
      </w:r>
      <w:r w:rsidR="00E90F08" w:rsidRPr="00E405A6">
        <w:rPr>
          <w:color w:val="A50021"/>
        </w:rPr>
        <w:t xml:space="preserve">współczynnika </w:t>
      </w:r>
      <w:r w:rsidRPr="00E405A6">
        <w:rPr>
          <w:color w:val="A50021"/>
        </w:rPr>
        <w:t>wynagrodzeń powinna być zawarta w ewidencji sprzedającego, lecz nie może być przekazywana do nabywcy ulgi na druku INF-U – tajemnica handlowa</w:t>
      </w:r>
      <w:r w:rsidR="002D61B6" w:rsidRPr="00E405A6">
        <w:rPr>
          <w:color w:val="A50021"/>
        </w:rPr>
        <w:t>.</w:t>
      </w:r>
    </w:p>
    <w:p w:rsidR="002D61B6" w:rsidRPr="00E405A6" w:rsidRDefault="002D61B6" w:rsidP="002D61B6">
      <w:pPr>
        <w:pStyle w:val="PKTpunkt"/>
        <w:ind w:left="0" w:firstLine="0"/>
        <w:rPr>
          <w:color w:val="A50021"/>
        </w:rPr>
      </w:pPr>
      <w:r w:rsidRPr="00E405A6">
        <w:rPr>
          <w:color w:val="A50021"/>
        </w:rPr>
        <w:t xml:space="preserve">Jeżeli w informacji INF-U poz. 28 = 6, należy wykazać iloczyn najniższego wynagrodzenia pomniejszonego o należne składki na ubezpieczenia społeczne i ilorazu liczby pracowników o znacznym lub umiarkowanym stopniu niepełnosprawności w przeliczeniu na pełny wymiar czasu pracy oraz liczby pracowników. </w:t>
      </w:r>
    </w:p>
    <w:p w:rsidR="002D61B6" w:rsidRPr="00E405A6" w:rsidRDefault="002D61B6" w:rsidP="002D61B6">
      <w:pPr>
        <w:pStyle w:val="PKTpunkt"/>
        <w:ind w:left="0" w:firstLine="0"/>
        <w:rPr>
          <w:color w:val="A50021"/>
        </w:rPr>
      </w:pPr>
      <w:r w:rsidRPr="00E405A6">
        <w:rPr>
          <w:color w:val="A50021"/>
        </w:rPr>
        <w:t>Jeżeli w informacji INF-U poz. 28 = 7, należy wykazać iloczyn najniższego wynagrodzenia  pomniejszonego o należne składki na ubezpieczenia społeczne i ilorazu liczby pracowników o znacznym lub umiarkowanym stopniu niepełnosprawności w przeliczeniu na pełny wymiar czasu pracy oraz liczby pracowników zatrudnionych na podstawie umowy o pracę lub spółdzielczej umowy o pracę.</w:t>
      </w:r>
    </w:p>
    <w:p w:rsidR="002D61B6" w:rsidRPr="002D61B6" w:rsidRDefault="002D61B6" w:rsidP="002D61B6">
      <w:pPr>
        <w:pStyle w:val="PKTpunkt"/>
        <w:ind w:left="0" w:firstLine="0"/>
        <w:rPr>
          <w:color w:val="FF0000"/>
        </w:rPr>
      </w:pPr>
      <w:r w:rsidRPr="00E405A6">
        <w:rPr>
          <w:color w:val="A50021"/>
        </w:rPr>
        <w:t>W pozostałych przypadkach należy wpisać odpowiednio: sumę wynagrodzeń pracowników (jeżeli w informacji INF-U poz. 28 = 1 lub 2), sumę wynagrodzeń pracowników pomniejszoną o należne od nich składki na ubezpieczenia społeczne (jeżeli w informacji INF-U poz. 28 = 3), sumę wynagrodzeń pracowników niepełnosprawnych pomniejszoną o należne od nich składki na ubezpieczenia społeczne (jeżeli w informacji INF-U poz. 28 = 4) albo iloraz sumy wynagrodzeń pracowników o znacznym lub umiarkowanym stopniu niepełnosprawności pomniejszoną o należne od nich składki na ubezpieczenia społeczne oraz liczby pracowników niepełnosprawnych ogółem w przeliczeniu na pełny wymiar czasu pracy (jeżeli w informacji INF-U poz. 28 = 5)</w:t>
      </w:r>
    </w:p>
    <w:p w:rsidR="005025BC" w:rsidRDefault="005025BC" w:rsidP="005025BC">
      <w:pPr>
        <w:pStyle w:val="PKTpunkt"/>
        <w:rPr>
          <w:strike/>
        </w:rPr>
      </w:pPr>
      <w:r>
        <w:t xml:space="preserve">10) </w:t>
      </w:r>
      <w:r w:rsidRPr="00F65054">
        <w:t xml:space="preserve">zatrudnienie ogółem </w:t>
      </w:r>
      <w:r w:rsidRPr="006F0234">
        <w:rPr>
          <w:strike/>
        </w:rPr>
        <w:t>wykazane w poz. 36 INF-U;</w:t>
      </w:r>
    </w:p>
    <w:p w:rsidR="006F0234" w:rsidRPr="00E405A6" w:rsidRDefault="006F0234" w:rsidP="005025BC">
      <w:pPr>
        <w:pStyle w:val="PKTpunkt"/>
        <w:rPr>
          <w:color w:val="A50021"/>
        </w:rPr>
      </w:pPr>
      <w:r w:rsidRPr="00E405A6">
        <w:rPr>
          <w:color w:val="A50021"/>
        </w:rPr>
        <w:lastRenderedPageBreak/>
        <w:t>Pozycja dotycząca zatrudnienia ogółem powinna być zawarta w ewidencji sprzedającego, lecz nie może być przekazywana do nabywcy ulgi na druku INF-U – tajemnica handlowa</w:t>
      </w:r>
      <w:r w:rsidR="004A4F93" w:rsidRPr="00E405A6">
        <w:rPr>
          <w:color w:val="A50021"/>
        </w:rPr>
        <w:t>.</w:t>
      </w:r>
    </w:p>
    <w:p w:rsidR="005025BC" w:rsidRDefault="005025BC" w:rsidP="005025BC">
      <w:pPr>
        <w:pStyle w:val="PKTpunkt"/>
        <w:rPr>
          <w:strike/>
        </w:rPr>
      </w:pPr>
      <w:r>
        <w:t xml:space="preserve">11) </w:t>
      </w:r>
      <w:r w:rsidRPr="00F65054">
        <w:t xml:space="preserve">zatrudnienie osób niepełnosprawnych </w:t>
      </w:r>
      <w:r w:rsidRPr="006F0234">
        <w:rPr>
          <w:strike/>
        </w:rPr>
        <w:t>wykazane w poz. 37 INF-U;</w:t>
      </w:r>
    </w:p>
    <w:p w:rsidR="006F0234" w:rsidRPr="00E405A6" w:rsidRDefault="006F0234" w:rsidP="005025BC">
      <w:pPr>
        <w:pStyle w:val="PKTpunkt"/>
        <w:rPr>
          <w:color w:val="A50021"/>
        </w:rPr>
      </w:pPr>
      <w:r w:rsidRPr="00E405A6">
        <w:rPr>
          <w:color w:val="A50021"/>
        </w:rPr>
        <w:t>Pozycja dotycząca zatrudnienia osób niepełnosprawnych powinna być zawarta w ewidencji sprzedającego, lecz nie może być przekazywana do nabywcy ulgi na druku INF-U – tajemnica handlowa</w:t>
      </w:r>
      <w:r w:rsidR="004A4F93" w:rsidRPr="00E405A6">
        <w:rPr>
          <w:color w:val="A50021"/>
        </w:rPr>
        <w:t>.</w:t>
      </w:r>
    </w:p>
    <w:p w:rsidR="005025BC" w:rsidRPr="00F65054" w:rsidRDefault="005025BC" w:rsidP="005025BC">
      <w:pPr>
        <w:pStyle w:val="PKTpunkt"/>
      </w:pPr>
      <w:r>
        <w:t xml:space="preserve">12) </w:t>
      </w:r>
      <w:r w:rsidRPr="00F65054">
        <w:t>kwotę przysługującego obniżenia wpłat wykazaną w poz. 38 informacji INF-U;</w:t>
      </w:r>
    </w:p>
    <w:p w:rsidR="005025BC" w:rsidRPr="00F65054" w:rsidRDefault="005025BC" w:rsidP="005025BC">
      <w:pPr>
        <w:pStyle w:val="PKTpunkt"/>
      </w:pPr>
      <w:r>
        <w:t xml:space="preserve">13) </w:t>
      </w:r>
      <w:r w:rsidRPr="00F65054">
        <w:t>adnotacje dotyczące dokonania korekty informacji oraz zakresu korekty, jeżeli dotyczy;</w:t>
      </w:r>
    </w:p>
    <w:p w:rsidR="005025BC" w:rsidRPr="00F65054" w:rsidRDefault="005025BC" w:rsidP="005025BC">
      <w:pPr>
        <w:pStyle w:val="PKTpunkt"/>
      </w:pPr>
      <w:r>
        <w:t xml:space="preserve">14) </w:t>
      </w:r>
      <w:r w:rsidRPr="00F65054">
        <w:t>uwagi.</w:t>
      </w:r>
    </w:p>
    <w:p w:rsidR="005025BC" w:rsidRPr="00F65054" w:rsidRDefault="005025BC" w:rsidP="005025BC">
      <w:pPr>
        <w:pStyle w:val="USTustnpkodeksu"/>
      </w:pPr>
      <w:r w:rsidRPr="00F65054">
        <w:t xml:space="preserve">2. W ewidencji wykazuje się dane dotyczące zwykłych i korygujących informacji </w:t>
      </w:r>
      <w:r w:rsidRPr="00F65054">
        <w:br/>
        <w:t>o kwocie obniżenia wystawionych począwszy od dnia 1 lipca 2016 r.</w:t>
      </w:r>
    </w:p>
    <w:p w:rsidR="005025BC" w:rsidRPr="00F65054" w:rsidRDefault="005025BC" w:rsidP="005025BC">
      <w:pPr>
        <w:pStyle w:val="USTustnpkodeksu"/>
      </w:pPr>
      <w:r w:rsidRPr="00F65054">
        <w:t>3. Zapisy w ewidencji są dokonywane na bieżąco, niezwłocznie po wystąpieniu zdarzenia podlegającego rejestracji, w sposób trwały i czytelny.</w:t>
      </w:r>
    </w:p>
    <w:p w:rsidR="005025BC" w:rsidRPr="00F65054" w:rsidRDefault="005025BC" w:rsidP="005025BC">
      <w:pPr>
        <w:pStyle w:val="USTustnpkodeksu"/>
      </w:pPr>
      <w:r w:rsidRPr="00F65054">
        <w:t>4. Ewidencję oraz wykazane w niej dane chroni się w szczególności przed:</w:t>
      </w:r>
    </w:p>
    <w:p w:rsidR="005025BC" w:rsidRPr="00F65054" w:rsidRDefault="005025BC" w:rsidP="00187622">
      <w:pPr>
        <w:pStyle w:val="PKTpunkt"/>
      </w:pPr>
      <w:r w:rsidRPr="00F65054">
        <w:t>1) utratą;</w:t>
      </w:r>
    </w:p>
    <w:p w:rsidR="005025BC" w:rsidRPr="00F65054" w:rsidRDefault="005025BC" w:rsidP="005025BC">
      <w:pPr>
        <w:pStyle w:val="PKTpunkt"/>
      </w:pPr>
      <w:r w:rsidRPr="00F65054">
        <w:t>2) uszkodzeniem lub zniszczeniem;</w:t>
      </w:r>
    </w:p>
    <w:p w:rsidR="005025BC" w:rsidRPr="00F65054" w:rsidRDefault="005025BC" w:rsidP="005025BC">
      <w:pPr>
        <w:pStyle w:val="PKTpunkt"/>
      </w:pPr>
      <w:r w:rsidRPr="00F65054">
        <w:t>3) kradzieżą;</w:t>
      </w:r>
    </w:p>
    <w:p w:rsidR="005025BC" w:rsidRPr="00F65054" w:rsidRDefault="005025BC" w:rsidP="005025BC">
      <w:pPr>
        <w:pStyle w:val="PKTpunkt"/>
      </w:pPr>
      <w:r w:rsidRPr="00F65054">
        <w:t>4) dostępem osób nieuprawnionych.</w:t>
      </w:r>
    </w:p>
    <w:p w:rsidR="005025BC" w:rsidRPr="00F65054" w:rsidRDefault="005025BC" w:rsidP="005025BC">
      <w:pPr>
        <w:pStyle w:val="USTustnpkodeksu"/>
      </w:pPr>
      <w:r w:rsidRPr="00F65054">
        <w:t>5. Przepis § 2 ust. 2 stosuje się odpowiednio do prowadzenia ewidencji i oceny jej zgodności z oryginałem.</w:t>
      </w:r>
    </w:p>
    <w:p w:rsidR="005025BC" w:rsidRPr="00F65054" w:rsidRDefault="005025BC" w:rsidP="005025BC">
      <w:pPr>
        <w:pStyle w:val="ARTartustawynprozporzdzenia"/>
        <w:keepNext/>
      </w:pPr>
      <w:r w:rsidRPr="00F65054">
        <w:rPr>
          <w:rStyle w:val="Ppogrubienie"/>
        </w:rPr>
        <w:t>§ 4.</w:t>
      </w:r>
      <w:r w:rsidRPr="00F65054">
        <w:t> Ewidencja może być prowadzona w formie:</w:t>
      </w:r>
    </w:p>
    <w:p w:rsidR="005025BC" w:rsidRPr="00F65054" w:rsidRDefault="005025BC" w:rsidP="005025BC">
      <w:pPr>
        <w:pStyle w:val="PKTpunkt"/>
      </w:pPr>
      <w:r w:rsidRPr="00F65054">
        <w:t>1)   pisemnej;</w:t>
      </w:r>
    </w:p>
    <w:p w:rsidR="005025BC" w:rsidRPr="00F65054" w:rsidRDefault="005025BC" w:rsidP="005025BC">
      <w:pPr>
        <w:pStyle w:val="PKTpunkt"/>
      </w:pPr>
      <w:r w:rsidRPr="00F65054">
        <w:t>2)  elektronicznej.</w:t>
      </w:r>
    </w:p>
    <w:p w:rsidR="005025BC" w:rsidRPr="00F65054" w:rsidRDefault="005025BC" w:rsidP="005025BC">
      <w:pPr>
        <w:pStyle w:val="ARTartustawynprozporzdzenia"/>
      </w:pPr>
      <w:r w:rsidRPr="00F65054">
        <w:rPr>
          <w:rStyle w:val="Ppogrubienie"/>
        </w:rPr>
        <w:t>§ 5.</w:t>
      </w:r>
      <w:r w:rsidRPr="00F65054">
        <w:t> 1. W przypadku prowadzenia ewidencji w formie pisemnej przed przystąpieniem do jej wypełniania karty ewidencji powinny być przeszyte, a strony ponumerowane.</w:t>
      </w:r>
    </w:p>
    <w:p w:rsidR="005025BC" w:rsidRPr="00F65054" w:rsidRDefault="005025BC" w:rsidP="005025BC">
      <w:pPr>
        <w:pStyle w:val="ARTartustawynprozporzdzenia"/>
      </w:pPr>
      <w:r w:rsidRPr="00F65054">
        <w:t xml:space="preserve">2. Wpisów do ewidencji dokonuje się w sposób trwały i wyraźny. Zmian </w:t>
      </w:r>
      <w:r w:rsidRPr="00F65054">
        <w:br/>
        <w:t xml:space="preserve">i poprawek w ewidencji dokonuje się tak, by przekreślony tekst pierwotny pozostał czytelny. Każdą zmianę lub poprawkę należy potwierdzić podpisem osoby dokonującej zmiany lub poprawki z podaniem daty ich wprowadzenia, a w razie potrzeby opisać również w rubryce </w:t>
      </w:r>
      <w:r>
        <w:t>„</w:t>
      </w:r>
      <w:r w:rsidRPr="00F65054">
        <w:t>uwagi</w:t>
      </w:r>
      <w:r>
        <w:t>”</w:t>
      </w:r>
      <w:r w:rsidRPr="00F65054">
        <w:t>.</w:t>
      </w:r>
    </w:p>
    <w:p w:rsidR="005025BC" w:rsidRPr="00F65054" w:rsidRDefault="005025BC" w:rsidP="005025BC">
      <w:pPr>
        <w:pStyle w:val="ARTartustawynprozporzdzenia"/>
        <w:keepNext/>
      </w:pPr>
      <w:r w:rsidRPr="00F65054">
        <w:rPr>
          <w:rStyle w:val="Ppogrubienie"/>
        </w:rPr>
        <w:lastRenderedPageBreak/>
        <w:t>§ 6.</w:t>
      </w:r>
      <w:r w:rsidRPr="00F65054">
        <w:t> 1. Ewidencja w formie elektronicznej prowadzona jest zgodnie z pisemną instrukcją obsługi programu komputerowego wykorzystywanego do prowadzenia tej ewidencji i w taki sposób, aby:</w:t>
      </w:r>
    </w:p>
    <w:p w:rsidR="005025BC" w:rsidRPr="00F65054" w:rsidRDefault="005025BC" w:rsidP="005025BC">
      <w:pPr>
        <w:pStyle w:val="PKTpunkt"/>
      </w:pPr>
      <w:r w:rsidRPr="00F65054">
        <w:t>1) umożliwiała wgląd w treść dokonywanych wpisów oraz ochronę przechowywanych danych przed zniekształceniem lub utratą;</w:t>
      </w:r>
    </w:p>
    <w:p w:rsidR="005025BC" w:rsidRPr="00F65054" w:rsidRDefault="005025BC" w:rsidP="005025BC">
      <w:pPr>
        <w:pStyle w:val="PKTpunkt"/>
      </w:pPr>
      <w:r w:rsidRPr="00F65054">
        <w:t>2) umożliwiała dokonywanie korekty danych opatrzonej adnotacją osoby dokonującej tej korekty oraz daty jej dokonania;</w:t>
      </w:r>
    </w:p>
    <w:p w:rsidR="005025BC" w:rsidRPr="00F65054" w:rsidRDefault="005025BC" w:rsidP="005025BC">
      <w:pPr>
        <w:pStyle w:val="PKTpunkt"/>
      </w:pPr>
      <w:r w:rsidRPr="00F65054">
        <w:t>3)  pozwalała na drukowanie wpisów w porządku chronologicznym;</w:t>
      </w:r>
    </w:p>
    <w:p w:rsidR="005025BC" w:rsidRPr="00F65054" w:rsidRDefault="005025BC" w:rsidP="005025BC">
      <w:pPr>
        <w:pStyle w:val="PKTpunkt"/>
      </w:pPr>
      <w:r w:rsidRPr="00F65054">
        <w:t>4)  uniemożliwiała usuwanie wpisów.</w:t>
      </w:r>
    </w:p>
    <w:p w:rsidR="005025BC" w:rsidRDefault="005025BC" w:rsidP="005025BC">
      <w:pPr>
        <w:pStyle w:val="USTustnpkodeksu"/>
      </w:pPr>
      <w:r w:rsidRPr="00F65054">
        <w:t xml:space="preserve">2. W przypadku wyboru formy elektronicznej warunkiem prowadzenia ewidencji jest zapewnienie, by wykorzystywane oprogramowanie i zasoby, w tym zestawienia danych wygenerowane z wykorzystaniem tego oprogramowania, spełniały wymagania Web Content Accessibility </w:t>
      </w:r>
      <w:proofErr w:type="spellStart"/>
      <w:r w:rsidRPr="00F65054">
        <w:t>Guidelines</w:t>
      </w:r>
      <w:proofErr w:type="spellEnd"/>
      <w:r w:rsidRPr="00F65054">
        <w:t xml:space="preserve"> (WCAG 2.0), co najmniej na poziomie AA.</w:t>
      </w:r>
    </w:p>
    <w:p w:rsidR="00E237EE" w:rsidRPr="00E237EE" w:rsidRDefault="00A45E8F" w:rsidP="00E405A6">
      <w:pPr>
        <w:pStyle w:val="USTustnpkodeksu"/>
        <w:rPr>
          <w:color w:val="FF0000"/>
        </w:rPr>
      </w:pPr>
      <w:r w:rsidRPr="00E405A6">
        <w:rPr>
          <w:color w:val="A50021"/>
        </w:rPr>
        <w:t>Punkt ten nakłada na firmy udzielając</w:t>
      </w:r>
      <w:r w:rsidR="002E4B6F" w:rsidRPr="00E405A6">
        <w:rPr>
          <w:color w:val="A50021"/>
        </w:rPr>
        <w:t>e</w:t>
      </w:r>
      <w:r w:rsidRPr="00E405A6">
        <w:rPr>
          <w:color w:val="A50021"/>
        </w:rPr>
        <w:t xml:space="preserve"> ulgi wysokie wymagania dotyczące prowadzenia ewidencji w formie elektronicznej. Wymagania dotyczące oprogramowania przedstawione w tym punkcie, głównie dotyczą oprogramowania stosowanego w instytucjach publicznych.  Firmy udzielające ulgi do prowadzenia ewidencji w formie elektronicznej zmuszone będą do zakupu specjalistycznego oprogramowania, co oznaczać będzie konieczność poniesienia przez nie wysokich kosztów.</w:t>
      </w:r>
      <w:r>
        <w:rPr>
          <w:color w:val="FF0000"/>
        </w:rPr>
        <w:t xml:space="preserve"> </w:t>
      </w:r>
    </w:p>
    <w:p w:rsidR="005025BC" w:rsidRPr="00F65054" w:rsidRDefault="005025BC" w:rsidP="005025BC">
      <w:pPr>
        <w:pStyle w:val="USTustnpkodeksu"/>
      </w:pPr>
      <w:r w:rsidRPr="00F65054">
        <w:t xml:space="preserve">3. Dane z ewidencji prowadzonej z zastosowaniem systemu teleinformatycznego powinny być archiwizowane na informatycznych nośnikach danych nie rzadziej niż raz </w:t>
      </w:r>
      <w:r w:rsidRPr="00F65054">
        <w:br/>
        <w:t>w miesiącu.</w:t>
      </w:r>
    </w:p>
    <w:p w:rsidR="005025BC" w:rsidRPr="00F65054" w:rsidRDefault="005025BC" w:rsidP="005025BC">
      <w:pPr>
        <w:pStyle w:val="ARTartustawynprozporzdzenia"/>
      </w:pPr>
      <w:r w:rsidRPr="00F65054">
        <w:rPr>
          <w:rStyle w:val="Ppogrubienie"/>
        </w:rPr>
        <w:t>§ 7.</w:t>
      </w:r>
      <w:r w:rsidRPr="00F65054">
        <w:t xml:space="preserve"> 1. Ewidencja jest przechowywana w siedzibie sprzedającego przez okres 10 lat, licząc od końca roku kalendarzowego, w którym wystawiono informacje uwidocznione </w:t>
      </w:r>
      <w:r w:rsidRPr="00F65054">
        <w:br/>
        <w:t>w ewidencji.</w:t>
      </w:r>
    </w:p>
    <w:p w:rsidR="005025BC" w:rsidRDefault="005025BC" w:rsidP="005025BC">
      <w:pPr>
        <w:pStyle w:val="ARTartustawynprozporzdzenia"/>
      </w:pPr>
      <w:r w:rsidRPr="00F65054">
        <w:t>2. Podmiot prowadzący ewidencję w formie elektronicznej przechowuje kopię ewidencji za dany rok zapisaną na informatycznych nośnikach danych lub w formie wydruku.</w:t>
      </w:r>
    </w:p>
    <w:p w:rsidR="008F7356" w:rsidRPr="00E405A6" w:rsidRDefault="008F7356" w:rsidP="00CF2B38">
      <w:pPr>
        <w:pStyle w:val="ARTartustawynprozporzdzenia"/>
        <w:rPr>
          <w:color w:val="A50021"/>
        </w:rPr>
      </w:pPr>
      <w:r w:rsidRPr="00E405A6">
        <w:rPr>
          <w:rStyle w:val="Ppogrubienie"/>
          <w:b w:val="0"/>
          <w:color w:val="A50021"/>
        </w:rPr>
        <w:t xml:space="preserve">Oprogramowanie, które miałoby spełniać warunki zawarte w § 6 - § 7 będzie tworzone dla bardzo wąskiej </w:t>
      </w:r>
      <w:r w:rsidR="00970B2C" w:rsidRPr="00E405A6">
        <w:rPr>
          <w:rStyle w:val="Ppogrubienie"/>
          <w:b w:val="0"/>
          <w:color w:val="A50021"/>
        </w:rPr>
        <w:t xml:space="preserve">(dużo mniejszej niż 750) </w:t>
      </w:r>
      <w:r w:rsidRPr="00E405A6">
        <w:rPr>
          <w:rStyle w:val="Ppogrubienie"/>
          <w:b w:val="0"/>
          <w:color w:val="A50021"/>
        </w:rPr>
        <w:t xml:space="preserve">liczby wystawiających informacje o kwocie obniżenia, </w:t>
      </w:r>
      <w:r w:rsidR="00970B2C" w:rsidRPr="00E405A6">
        <w:rPr>
          <w:rStyle w:val="Ppogrubienie"/>
          <w:b w:val="0"/>
          <w:color w:val="A50021"/>
        </w:rPr>
        <w:t xml:space="preserve">w związku z tym </w:t>
      </w:r>
      <w:r w:rsidRPr="00E405A6">
        <w:rPr>
          <w:rStyle w:val="Ppogrubienie"/>
          <w:b w:val="0"/>
          <w:color w:val="A50021"/>
        </w:rPr>
        <w:t>stworzenie go będzie traktowane przez autorów programu jako indywidualne zamówienie</w:t>
      </w:r>
      <w:r w:rsidR="00856F07" w:rsidRPr="00E405A6">
        <w:rPr>
          <w:rStyle w:val="Ppogrubienie"/>
          <w:b w:val="0"/>
          <w:color w:val="A50021"/>
        </w:rPr>
        <w:t>. C</w:t>
      </w:r>
      <w:r w:rsidRPr="00E405A6">
        <w:rPr>
          <w:rStyle w:val="Ppogrubienie"/>
          <w:b w:val="0"/>
          <w:color w:val="A50021"/>
        </w:rPr>
        <w:t xml:space="preserve">ena jego </w:t>
      </w:r>
      <w:r w:rsidR="00856F07" w:rsidRPr="00E405A6">
        <w:rPr>
          <w:rStyle w:val="Ppogrubienie"/>
          <w:b w:val="0"/>
          <w:color w:val="A50021"/>
        </w:rPr>
        <w:t xml:space="preserve">zatem </w:t>
      </w:r>
      <w:r w:rsidRPr="00E405A6">
        <w:rPr>
          <w:rStyle w:val="Ppogrubienie"/>
          <w:b w:val="0"/>
          <w:color w:val="A50021"/>
        </w:rPr>
        <w:t>będzie bardzo wysoka.</w:t>
      </w:r>
      <w:r w:rsidR="00856F07" w:rsidRPr="00E405A6">
        <w:rPr>
          <w:rStyle w:val="Ppogrubienie"/>
          <w:b w:val="0"/>
          <w:color w:val="A50021"/>
        </w:rPr>
        <w:t xml:space="preserve"> Ponadto przechowywanie </w:t>
      </w:r>
      <w:r w:rsidRPr="00E405A6">
        <w:rPr>
          <w:rStyle w:val="Ppogrubienie"/>
          <w:b w:val="0"/>
          <w:color w:val="A50021"/>
        </w:rPr>
        <w:t xml:space="preserve"> </w:t>
      </w:r>
      <w:r w:rsidR="00856F07" w:rsidRPr="00E405A6">
        <w:rPr>
          <w:rStyle w:val="Ppogrubienie"/>
          <w:b w:val="0"/>
          <w:color w:val="A50021"/>
        </w:rPr>
        <w:t xml:space="preserve">ewidencji przewidziano na okres aż 10 lat, przez który wystawiający informacje o kwocie </w:t>
      </w:r>
      <w:r w:rsidR="00856F07" w:rsidRPr="00E405A6">
        <w:rPr>
          <w:rStyle w:val="Ppogrubienie"/>
          <w:b w:val="0"/>
          <w:color w:val="A50021"/>
        </w:rPr>
        <w:lastRenderedPageBreak/>
        <w:t xml:space="preserve">obniżenia, którzy zdecydowaliby się na prowadzenie ewidencji w wersji elektronicznej, będą musieli pokrywać koszty licencji użytkowania oprogramowania służącego do prowadzenia tej ewidencji. </w:t>
      </w:r>
      <w:r w:rsidRPr="00E405A6">
        <w:rPr>
          <w:rStyle w:val="Ppogrubienie"/>
          <w:b w:val="0"/>
          <w:color w:val="A50021"/>
        </w:rPr>
        <w:t>W tej sytuacji większość podmiotów udzielających ulgi zdecyduje się na prowadzenie ewidencji w formie pisemnej, co może znacznie utrudnić prace kontrolującym.</w:t>
      </w:r>
    </w:p>
    <w:p w:rsidR="00F7360F" w:rsidRPr="00E405A6" w:rsidRDefault="00AB343A" w:rsidP="008F7356">
      <w:pPr>
        <w:pStyle w:val="ARTartustawynprozporzdzenia"/>
        <w:rPr>
          <w:rStyle w:val="Ppogrubienie"/>
          <w:b w:val="0"/>
          <w:color w:val="A50021"/>
        </w:rPr>
      </w:pPr>
      <w:r w:rsidRPr="00E405A6">
        <w:rPr>
          <w:color w:val="A50021"/>
        </w:rPr>
        <w:t xml:space="preserve">W proponowanym projekcie rozporządzenia </w:t>
      </w:r>
      <w:r w:rsidRPr="00E405A6">
        <w:rPr>
          <w:rStyle w:val="Ppogrubienie"/>
          <w:b w:val="0"/>
          <w:color w:val="A50021"/>
        </w:rPr>
        <w:t>§ 3 - § 7 określono zakres danych gromadzonych w ewidencji</w:t>
      </w:r>
      <w:r w:rsidR="00CF2B38" w:rsidRPr="00E405A6">
        <w:rPr>
          <w:rStyle w:val="Ppogrubienie"/>
          <w:b w:val="0"/>
          <w:color w:val="A50021"/>
        </w:rPr>
        <w:t>, o której mowa w art. 22 ust. 10 pkt 2 ustawy o rehabilitacji (…)</w:t>
      </w:r>
      <w:r w:rsidR="00F7360F" w:rsidRPr="00E405A6">
        <w:rPr>
          <w:rStyle w:val="Ppogrubienie"/>
          <w:b w:val="0"/>
          <w:color w:val="A50021"/>
        </w:rPr>
        <w:t>,</w:t>
      </w:r>
      <w:r w:rsidR="00CF2B38" w:rsidRPr="00E405A6">
        <w:rPr>
          <w:rStyle w:val="Ppogrubienie"/>
          <w:b w:val="0"/>
          <w:color w:val="A50021"/>
        </w:rPr>
        <w:t xml:space="preserve"> jednakże prowadzenie w/w ewidencji będzie zdublowaniem tworzonych i przesyłanych informacji do PFRON na druk</w:t>
      </w:r>
      <w:r w:rsidR="00F7360F" w:rsidRPr="00E405A6">
        <w:rPr>
          <w:rStyle w:val="Ppogrubienie"/>
          <w:b w:val="0"/>
          <w:color w:val="A50021"/>
        </w:rPr>
        <w:t>ac</w:t>
      </w:r>
      <w:r w:rsidR="00B22EEB" w:rsidRPr="00E405A6">
        <w:rPr>
          <w:rStyle w:val="Ppogrubienie"/>
          <w:b w:val="0"/>
          <w:color w:val="A50021"/>
        </w:rPr>
        <w:t>h INF-1-u. Druk</w:t>
      </w:r>
      <w:r w:rsidR="00CF2B38" w:rsidRPr="00E405A6">
        <w:rPr>
          <w:rStyle w:val="Ppogrubienie"/>
          <w:b w:val="0"/>
          <w:color w:val="A50021"/>
        </w:rPr>
        <w:t xml:space="preserve"> </w:t>
      </w:r>
      <w:r w:rsidR="00F7360F" w:rsidRPr="00E405A6">
        <w:rPr>
          <w:rStyle w:val="Ppogrubienie"/>
          <w:b w:val="0"/>
          <w:color w:val="A50021"/>
        </w:rPr>
        <w:t>INF-1-u</w:t>
      </w:r>
      <w:r w:rsidR="00CF2B38" w:rsidRPr="00E405A6">
        <w:rPr>
          <w:rStyle w:val="Ppogrubienie"/>
          <w:b w:val="0"/>
          <w:color w:val="A50021"/>
        </w:rPr>
        <w:t xml:space="preserve"> zawiera wszystkie wskazane w niniejszym rozporządzeniu informacje</w:t>
      </w:r>
      <w:r w:rsidR="00B22EEB" w:rsidRPr="00E405A6">
        <w:rPr>
          <w:rStyle w:val="Ppogrubienie"/>
          <w:b w:val="0"/>
          <w:color w:val="A50021"/>
        </w:rPr>
        <w:t>, które powinny występować w ewidencji</w:t>
      </w:r>
      <w:r w:rsidR="00CF2B38" w:rsidRPr="00E405A6">
        <w:rPr>
          <w:rStyle w:val="Ppogrubienie"/>
          <w:b w:val="0"/>
          <w:color w:val="A50021"/>
        </w:rPr>
        <w:t>. Wydruki tych formularzy mogłyby pełnić rolę ewidencji wystawianych ulg u sprzedającego, między innymi na potrzeby okazania ich organom kontrolującym.</w:t>
      </w:r>
    </w:p>
    <w:p w:rsidR="00153786" w:rsidRPr="00E405A6" w:rsidRDefault="00B22EEB" w:rsidP="008F7356">
      <w:pPr>
        <w:pStyle w:val="ARTartustawynprozporzdzenia"/>
        <w:rPr>
          <w:rStyle w:val="Ppogrubienie"/>
          <w:b w:val="0"/>
          <w:color w:val="A50021"/>
        </w:rPr>
      </w:pPr>
      <w:r w:rsidRPr="00E405A6">
        <w:rPr>
          <w:rStyle w:val="Ppogrubienie"/>
          <w:b w:val="0"/>
          <w:color w:val="A50021"/>
        </w:rPr>
        <w:t>Wypełnione przez wystawiających informacje o kwocie obniżenia druki</w:t>
      </w:r>
      <w:r w:rsidR="00153786" w:rsidRPr="00E405A6">
        <w:rPr>
          <w:rStyle w:val="Ppogrubienie"/>
          <w:b w:val="0"/>
          <w:color w:val="A50021"/>
        </w:rPr>
        <w:t xml:space="preserve"> INF-1-u powinny być składane przez system e-PFRON2, który aktualnie służy do składania deklaracji i informacji przez teletransmisj</w:t>
      </w:r>
      <w:r w:rsidR="00F7360F" w:rsidRPr="00E405A6">
        <w:rPr>
          <w:rStyle w:val="Ppogrubienie"/>
          <w:b w:val="0"/>
          <w:color w:val="A50021"/>
        </w:rPr>
        <w:t>ę</w:t>
      </w:r>
      <w:r w:rsidR="00153786" w:rsidRPr="00E405A6">
        <w:rPr>
          <w:rStyle w:val="Ppogrubienie"/>
          <w:b w:val="0"/>
          <w:color w:val="A50021"/>
        </w:rPr>
        <w:t xml:space="preserve"> danych w formie dokumentu elektronicznego, przez Pracodawców zobowiązanych do wpłat lub zwolnionych z wpłat na rzecz PFRON.</w:t>
      </w:r>
    </w:p>
    <w:p w:rsidR="00AB343A" w:rsidRPr="00AB343A" w:rsidRDefault="00856F07" w:rsidP="008F7356">
      <w:pPr>
        <w:pStyle w:val="ARTartustawynprozporzdzenia"/>
        <w:rPr>
          <w:color w:val="FF0000"/>
        </w:rPr>
      </w:pPr>
      <w:r w:rsidRPr="00E405A6">
        <w:rPr>
          <w:rStyle w:val="Ppogrubienie"/>
          <w:b w:val="0"/>
          <w:color w:val="A50021"/>
        </w:rPr>
        <w:t>Ponadto okres przechowywania dokumentacji związanej z prowadzeniem ewidencji powinien być skrócony do lat 5.</w:t>
      </w:r>
    </w:p>
    <w:p w:rsidR="005025BC" w:rsidRPr="00F65054" w:rsidRDefault="005025BC" w:rsidP="005025BC">
      <w:pPr>
        <w:pStyle w:val="ARTartustawynprozporzdzenia"/>
        <w:keepNext/>
      </w:pPr>
      <w:r w:rsidRPr="00F65054">
        <w:rPr>
          <w:rStyle w:val="Ppogrubienie"/>
        </w:rPr>
        <w:t>§ 8.</w:t>
      </w:r>
      <w:r w:rsidRPr="00F65054">
        <w:t> Rozporządzenie wchodzi w życie z dniem 1 lipca 2016 r.</w:t>
      </w:r>
    </w:p>
    <w:p w:rsidR="005025BC" w:rsidRPr="00F65054" w:rsidRDefault="005025BC" w:rsidP="005025BC">
      <w:pPr>
        <w:pStyle w:val="NAZORGWYDnazwaorganuwydajcegoprojektowanyakt"/>
      </w:pPr>
      <w:r w:rsidRPr="00F65054">
        <w:t xml:space="preserve">Minister </w:t>
      </w:r>
      <w:r w:rsidRPr="00F65054">
        <w:br/>
        <w:t>Rodziny, pracy i Polityki społecznej</w:t>
      </w:r>
    </w:p>
    <w:p w:rsidR="005025BC" w:rsidRPr="00737F6A" w:rsidRDefault="005025BC" w:rsidP="005025BC"/>
    <w:p w:rsidR="006D095D" w:rsidRDefault="006D095D"/>
    <w:sectPr w:rsidR="006D095D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79" w:rsidRDefault="00625679" w:rsidP="005025BC">
      <w:pPr>
        <w:spacing w:after="0" w:line="240" w:lineRule="auto"/>
      </w:pPr>
      <w:r>
        <w:separator/>
      </w:r>
    </w:p>
  </w:endnote>
  <w:endnote w:type="continuationSeparator" w:id="0">
    <w:p w:rsidR="00625679" w:rsidRDefault="00625679" w:rsidP="0050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79" w:rsidRDefault="00625679" w:rsidP="005025BC">
      <w:pPr>
        <w:spacing w:after="0" w:line="240" w:lineRule="auto"/>
      </w:pPr>
      <w:r>
        <w:separator/>
      </w:r>
    </w:p>
  </w:footnote>
  <w:footnote w:type="continuationSeparator" w:id="0">
    <w:p w:rsidR="00625679" w:rsidRDefault="00625679" w:rsidP="005025BC">
      <w:pPr>
        <w:spacing w:after="0" w:line="240" w:lineRule="auto"/>
      </w:pPr>
      <w:r>
        <w:continuationSeparator/>
      </w:r>
    </w:p>
  </w:footnote>
  <w:footnote w:id="1">
    <w:p w:rsidR="005025BC" w:rsidRDefault="005025BC" w:rsidP="005025BC">
      <w:pPr>
        <w:pStyle w:val="ODNONIKtreodnonika"/>
      </w:pPr>
      <w:r>
        <w:rPr>
          <w:rStyle w:val="Odwoanieprzypisudolnego"/>
        </w:rPr>
        <w:footnoteRef/>
      </w:r>
      <w:r w:rsidRPr="00D41D6A">
        <w:rPr>
          <w:vertAlign w:val="superscript"/>
        </w:rPr>
        <w:t>)</w:t>
      </w:r>
      <w:r>
        <w:t xml:space="preserve">  </w:t>
      </w:r>
      <w:r>
        <w:tab/>
      </w:r>
      <w:r w:rsidRPr="0096122B">
        <w:t>Minister</w:t>
      </w:r>
      <w:r>
        <w:t xml:space="preserve"> Rodziny,</w:t>
      </w:r>
      <w:r w:rsidRPr="0096122B">
        <w:t xml:space="preserve"> Pracy i Polityki Społecznej kieruje działem administracji rządowej – zabezpieczenie społeczne,</w:t>
      </w:r>
      <w:r>
        <w:t xml:space="preserve"> </w:t>
      </w:r>
      <w:r w:rsidRPr="0096122B">
        <w:t>na podstawie § 1 ust. 2 pkt 2 rozporządzenia</w:t>
      </w:r>
      <w:r w:rsidRPr="002F1E07">
        <w:t xml:space="preserve"> Prezesa Rady Ministrów z dnia 17 listopada </w:t>
      </w:r>
      <w:r>
        <w:br/>
      </w:r>
      <w:r w:rsidRPr="002F1E07">
        <w:t xml:space="preserve">2015 r. w sprawie szczegółowego zakresu działania Ministra Rodziny, Pracy i Polityki Społecznej </w:t>
      </w:r>
      <w:r>
        <w:br/>
      </w:r>
      <w:r w:rsidRPr="002F1E07">
        <w:t>(Dz. U. poz. 1905).</w:t>
      </w:r>
    </w:p>
  </w:footnote>
  <w:footnote w:id="2">
    <w:p w:rsidR="005025BC" w:rsidRDefault="005025BC" w:rsidP="005025BC">
      <w:pPr>
        <w:pStyle w:val="ODNONIKtreodnonika"/>
      </w:pPr>
      <w:r>
        <w:rPr>
          <w:rStyle w:val="Odwoanieprzypisudolnego"/>
        </w:rPr>
        <w:footnoteRef/>
      </w:r>
      <w:r w:rsidRPr="006A41A4">
        <w:rPr>
          <w:vertAlign w:val="superscript"/>
        </w:rPr>
        <w:t>)</w:t>
      </w:r>
      <w:r>
        <w:t xml:space="preserve">  </w:t>
      </w:r>
      <w:r>
        <w:tab/>
      </w:r>
      <w:r w:rsidRPr="002F7B1D">
        <w:t>Zmiany tekstu jednolitego wymienionej ustawy zostały ogłoszone w Dz. U. z 2011 r. Nr 171, poz. 1016, Nr 209,</w:t>
      </w:r>
      <w:r>
        <w:t xml:space="preserve"> </w:t>
      </w:r>
      <w:r w:rsidRPr="002F7B1D">
        <w:t>poz. 1243 i 1244 i Nr 291, poz. 1707, z 2012 r. poz. 986 i 1456, z 2013 r. poz. 73, 675, 791, 1446 i 1645</w:t>
      </w:r>
      <w:r>
        <w:t xml:space="preserve">, </w:t>
      </w:r>
      <w:r w:rsidRPr="002F7B1D">
        <w:t>z 2014 r.</w:t>
      </w:r>
      <w:r>
        <w:t xml:space="preserve"> poz. 598, 877,</w:t>
      </w:r>
      <w:r w:rsidRPr="002F7B1D">
        <w:t xml:space="preserve"> 1198, 1457 </w:t>
      </w:r>
      <w:r>
        <w:t>i</w:t>
      </w:r>
      <w:r w:rsidRPr="00B07CA5">
        <w:t xml:space="preserve"> </w:t>
      </w:r>
      <w:r w:rsidRPr="002F7B1D">
        <w:t>1873</w:t>
      </w:r>
      <w:r>
        <w:t xml:space="preserve"> oraz z 2015 r. poz. 218, 493, </w:t>
      </w:r>
      <w:r w:rsidRPr="00B07CA5">
        <w:t>1240, 1273</w:t>
      </w:r>
      <w:r>
        <w:t>,</w:t>
      </w:r>
      <w:r w:rsidRPr="00B07CA5">
        <w:t xml:space="preserve"> 1359</w:t>
      </w:r>
      <w:r>
        <w:t>, 1649</w:t>
      </w:r>
      <w:r w:rsidRPr="00B07CA5">
        <w:t xml:space="preserve"> </w:t>
      </w:r>
      <w:r>
        <w:t xml:space="preserve">                 i 1886. </w:t>
      </w:r>
    </w:p>
    <w:p w:rsidR="005025BC" w:rsidRDefault="005025BC" w:rsidP="005025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5E0E6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2621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BC"/>
    <w:rsid w:val="000143D9"/>
    <w:rsid w:val="0002429C"/>
    <w:rsid w:val="000F7058"/>
    <w:rsid w:val="0010619F"/>
    <w:rsid w:val="00152FA7"/>
    <w:rsid w:val="00153786"/>
    <w:rsid w:val="00187622"/>
    <w:rsid w:val="001C73FB"/>
    <w:rsid w:val="001F2AD3"/>
    <w:rsid w:val="0024550F"/>
    <w:rsid w:val="00260C23"/>
    <w:rsid w:val="002D4720"/>
    <w:rsid w:val="002D61B6"/>
    <w:rsid w:val="002E4B6F"/>
    <w:rsid w:val="0044578E"/>
    <w:rsid w:val="004A4F93"/>
    <w:rsid w:val="004B7F45"/>
    <w:rsid w:val="004C4DB4"/>
    <w:rsid w:val="005025BC"/>
    <w:rsid w:val="00550F90"/>
    <w:rsid w:val="00580DD4"/>
    <w:rsid w:val="005D14B9"/>
    <w:rsid w:val="005E0E62"/>
    <w:rsid w:val="005E1AF1"/>
    <w:rsid w:val="00625679"/>
    <w:rsid w:val="006D095D"/>
    <w:rsid w:val="006F0234"/>
    <w:rsid w:val="00731DAB"/>
    <w:rsid w:val="00856BB0"/>
    <w:rsid w:val="00856F07"/>
    <w:rsid w:val="008C2A21"/>
    <w:rsid w:val="008F7356"/>
    <w:rsid w:val="00937450"/>
    <w:rsid w:val="00970B2C"/>
    <w:rsid w:val="009E2701"/>
    <w:rsid w:val="00A45E8F"/>
    <w:rsid w:val="00AB343A"/>
    <w:rsid w:val="00B2055F"/>
    <w:rsid w:val="00B22EEB"/>
    <w:rsid w:val="00C01D7C"/>
    <w:rsid w:val="00C47CF0"/>
    <w:rsid w:val="00C678B9"/>
    <w:rsid w:val="00CD5D64"/>
    <w:rsid w:val="00CF2B38"/>
    <w:rsid w:val="00D0752C"/>
    <w:rsid w:val="00D26215"/>
    <w:rsid w:val="00D42993"/>
    <w:rsid w:val="00D43F05"/>
    <w:rsid w:val="00D86BCC"/>
    <w:rsid w:val="00DE1AE9"/>
    <w:rsid w:val="00E237EE"/>
    <w:rsid w:val="00E31A93"/>
    <w:rsid w:val="00E405A6"/>
    <w:rsid w:val="00E80629"/>
    <w:rsid w:val="00E90F08"/>
    <w:rsid w:val="00EE7918"/>
    <w:rsid w:val="00F23B51"/>
    <w:rsid w:val="00F4614E"/>
    <w:rsid w:val="00F64509"/>
    <w:rsid w:val="00F7360F"/>
    <w:rsid w:val="00F852F9"/>
    <w:rsid w:val="00FC5417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5025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025BC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025B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025B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025BC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025B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025B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025B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025B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025B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5025B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025BC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025BC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5025BC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025BC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5025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025BC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025B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025B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025BC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025B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025B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025B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025B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025B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5025B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025BC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025BC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5025BC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025BC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L.</dc:creator>
  <cp:lastModifiedBy>Iza</cp:lastModifiedBy>
  <cp:revision>2</cp:revision>
  <cp:lastPrinted>2016-03-09T09:16:00Z</cp:lastPrinted>
  <dcterms:created xsi:type="dcterms:W3CDTF">2016-03-29T08:08:00Z</dcterms:created>
  <dcterms:modified xsi:type="dcterms:W3CDTF">2016-03-29T08:08:00Z</dcterms:modified>
</cp:coreProperties>
</file>